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52" w:rsidRDefault="006E3EF5">
      <w:r>
        <w:rPr>
          <w:rFonts w:ascii="Arial" w:hAnsi="Arial" w:cs="Arial"/>
          <w:color w:val="001847"/>
          <w:sz w:val="30"/>
          <w:szCs w:val="30"/>
        </w:rPr>
        <w:t>https://www.bkd.com/article/2019/01/banking-strategies-digital-age</w:t>
      </w:r>
    </w:p>
    <w:sectPr w:rsidR="002F5452" w:rsidSect="002F54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E3EF5"/>
    <w:rsid w:val="002F5452"/>
    <w:rsid w:val="006E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2021-05-12T08:59:00Z</dcterms:created>
  <dcterms:modified xsi:type="dcterms:W3CDTF">2021-05-12T08:59:00Z</dcterms:modified>
</cp:coreProperties>
</file>